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FD" w:rsidRPr="00F732E1" w:rsidRDefault="00F732E1" w:rsidP="00F732E1">
      <w:pPr>
        <w:jc w:val="center"/>
        <w:rPr>
          <w:rFonts w:ascii="Californian FB" w:hAnsi="Californian FB"/>
          <w:sz w:val="40"/>
          <w:szCs w:val="40"/>
        </w:rPr>
      </w:pPr>
      <w:r w:rsidRPr="00F732E1">
        <w:rPr>
          <w:rFonts w:ascii="Californian FB" w:hAnsi="Californian FB"/>
          <w:sz w:val="40"/>
          <w:szCs w:val="40"/>
        </w:rPr>
        <w:t>Hesperia</w:t>
      </w:r>
    </w:p>
    <w:p w:rsidR="00F732E1" w:rsidRPr="00F732E1" w:rsidRDefault="00F732E1" w:rsidP="00F732E1">
      <w:pPr>
        <w:jc w:val="center"/>
        <w:rPr>
          <w:rFonts w:ascii="Californian FB" w:hAnsi="Californian FB"/>
          <w:sz w:val="40"/>
          <w:szCs w:val="40"/>
        </w:rPr>
      </w:pPr>
      <w:r w:rsidRPr="00F732E1">
        <w:rPr>
          <w:rFonts w:ascii="Californian FB" w:hAnsi="Californian FB"/>
          <w:sz w:val="40"/>
          <w:szCs w:val="40"/>
        </w:rPr>
        <w:t>2016 Total Sales</w:t>
      </w:r>
    </w:p>
    <w:p w:rsidR="00F732E1" w:rsidRPr="00F732E1" w:rsidRDefault="00F732E1" w:rsidP="00F732E1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72463F">
        <w:rPr>
          <w:noProof/>
        </w:rPr>
        <w:drawing>
          <wp:inline distT="0" distB="0" distL="0" distR="0" wp14:anchorId="4ED4651C" wp14:editId="7EA94F40">
            <wp:extent cx="8991600" cy="5943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732E1" w:rsidRPr="00F732E1" w:rsidSect="00F732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1"/>
    <w:rsid w:val="0072463F"/>
    <w:rsid w:val="009559B4"/>
    <w:rsid w:val="00B866FD"/>
    <w:rsid w:val="00F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7373-A712-4A57-AB7B-FDD6E7F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1,137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39</c:v>
                </c:pt>
                <c:pt idx="1">
                  <c:v>83</c:v>
                </c:pt>
                <c:pt idx="2">
                  <c:v>156</c:v>
                </c:pt>
                <c:pt idx="3">
                  <c:v>198</c:v>
                </c:pt>
                <c:pt idx="4">
                  <c:v>206</c:v>
                </c:pt>
                <c:pt idx="5">
                  <c:v>216</c:v>
                </c:pt>
                <c:pt idx="6">
                  <c:v>105</c:v>
                </c:pt>
                <c:pt idx="7">
                  <c:v>71</c:v>
                </c:pt>
                <c:pt idx="8">
                  <c:v>27</c:v>
                </c:pt>
                <c:pt idx="9">
                  <c:v>10</c:v>
                </c:pt>
                <c:pt idx="10">
                  <c:v>17</c:v>
                </c:pt>
                <c:pt idx="11">
                  <c:v>5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9913592"/>
        <c:axId val="352673008"/>
        <c:axId val="0"/>
      </c:bar3DChart>
      <c:catAx>
        <c:axId val="359913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673008"/>
        <c:crosses val="autoZero"/>
        <c:auto val="1"/>
        <c:lblAlgn val="ctr"/>
        <c:lblOffset val="100"/>
        <c:noMultiLvlLbl val="0"/>
      </c:catAx>
      <c:valAx>
        <c:axId val="3526730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9913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0.16314</cdr:x>
      <cdr:y>0.12981</cdr:y>
    </cdr:from>
    <cdr:to>
      <cdr:x>0.50742</cdr:x>
      <cdr:y>0.16987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71525"/>
          <a:ext cx="3095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3,720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0.16314</cdr:x>
      <cdr:y>0.19071</cdr:y>
    </cdr:from>
    <cdr:to>
      <cdr:x>0.48305</cdr:x>
      <cdr:y>0.23397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133475"/>
          <a:ext cx="2876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4,253</a:t>
          </a:r>
          <a:r>
            <a:rPr lang="en-US" sz="1000" i="1"/>
            <a:t> 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0.16525</cdr:x>
      <cdr:y>0.25962</cdr:y>
    </cdr:from>
    <cdr:to>
      <cdr:x>0.54555</cdr:x>
      <cdr:y>0.29808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43050"/>
          <a:ext cx="34194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3,578 </a:t>
          </a:r>
          <a:r>
            <a:rPr lang="en-US" sz="1000" i="1" baseline="0"/>
            <a:t>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0.16525</cdr:x>
      <cdr:y>0.31891</cdr:y>
    </cdr:from>
    <cdr:to>
      <cdr:x>0.58686</cdr:x>
      <cdr:y>0.36218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895475"/>
          <a:ext cx="3790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2,915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0.16419</cdr:x>
      <cdr:y>0.37981</cdr:y>
    </cdr:from>
    <cdr:to>
      <cdr:x>0.51271</cdr:x>
      <cdr:y>0.42308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57425"/>
          <a:ext cx="3133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2,457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0.44391</cdr:y>
    </cdr:from>
    <cdr:to>
      <cdr:x>0.46081</cdr:x>
      <cdr:y>0.48397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38425"/>
          <a:ext cx="2667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2,487 </a:t>
          </a:r>
          <a:r>
            <a:rPr lang="en-US" sz="1000" i="1"/>
            <a:t>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0.16419</cdr:x>
      <cdr:y>0.50801</cdr:y>
    </cdr:from>
    <cdr:to>
      <cdr:x>0.51059</cdr:x>
      <cdr:y>0.54808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019425"/>
          <a:ext cx="3114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2,308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0.16419</cdr:x>
      <cdr:y>0.56731</cdr:y>
    </cdr:from>
    <cdr:to>
      <cdr:x>0.5053</cdr:x>
      <cdr:y>0.60897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71850"/>
          <a:ext cx="3067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2,193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0.62981</cdr:y>
    </cdr:from>
    <cdr:to>
      <cdr:x>0.48411</cdr:x>
      <cdr:y>0.67147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743325"/>
          <a:ext cx="2876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1,937 </a:t>
          </a:r>
          <a:r>
            <a:rPr lang="en-US" sz="1000" i="1"/>
            <a:t>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0.16419</cdr:x>
      <cdr:y>0.69231</cdr:y>
    </cdr:from>
    <cdr:to>
      <cdr:x>0.47775</cdr:x>
      <cdr:y>0.73237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114800"/>
          <a:ext cx="2819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1,630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0.75321</cdr:y>
    </cdr:from>
    <cdr:to>
      <cdr:x>0.48093</cdr:x>
      <cdr:y>0.79647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76750"/>
          <a:ext cx="28479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1,462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0.16419</cdr:x>
      <cdr:y>0.81571</cdr:y>
    </cdr:from>
    <cdr:to>
      <cdr:x>0.52331</cdr:x>
      <cdr:y>0.85577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848225"/>
          <a:ext cx="3228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1,350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0.16419</cdr:x>
      <cdr:y>0.8766</cdr:y>
    </cdr:from>
    <cdr:to>
      <cdr:x>0.45869</cdr:x>
      <cdr:y>0.91987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210175"/>
          <a:ext cx="2647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1,221</a:t>
          </a:r>
          <a:r>
            <a:rPr lang="en-US" sz="1000" i="1"/>
            <a:t> - Average Year Built </a:t>
          </a:r>
          <a:r>
            <a:rPr lang="en-US" sz="1000" b="1" i="1"/>
            <a:t>1976</a:t>
          </a:r>
        </a:p>
      </cdr:txBody>
    </cdr:sp>
  </cdr:relSizeAnchor>
  <cdr:relSizeAnchor xmlns:cdr="http://schemas.openxmlformats.org/drawingml/2006/chartDrawing">
    <cdr:from>
      <cdr:x>0.16419</cdr:x>
      <cdr:y>0.94071</cdr:y>
    </cdr:from>
    <cdr:to>
      <cdr:x>0.49047</cdr:x>
      <cdr:y>0.97596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591175"/>
          <a:ext cx="29337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1,325</a:t>
          </a:r>
          <a:r>
            <a:rPr lang="en-US" sz="1000" i="1"/>
            <a:t> - Average Year Built </a:t>
          </a:r>
          <a:r>
            <a:rPr lang="en-US" sz="1000" b="1" i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2017-01-25T20:56:00Z</dcterms:created>
  <dcterms:modified xsi:type="dcterms:W3CDTF">2017-01-25T21:18:00Z</dcterms:modified>
</cp:coreProperties>
</file>